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8F9" w:rsidRDefault="009E68F9" w:rsidP="009E68F9">
      <w:pPr>
        <w:widowControl/>
        <w:spacing w:line="480" w:lineRule="exact"/>
        <w:jc w:val="center"/>
        <w:rPr>
          <w:rFonts w:asciiTheme="minorEastAsia" w:hAnsiTheme="minorEastAsia" w:cs="宋体"/>
          <w:b/>
          <w:kern w:val="0"/>
          <w:sz w:val="32"/>
          <w:szCs w:val="32"/>
        </w:rPr>
      </w:pPr>
      <w:r>
        <w:rPr>
          <w:rFonts w:asciiTheme="minorEastAsia" w:hAnsiTheme="minorEastAsia" w:cs="宋体" w:hint="eastAsia"/>
          <w:b/>
          <w:kern w:val="0"/>
          <w:sz w:val="32"/>
          <w:szCs w:val="32"/>
        </w:rPr>
        <w:t>2</w:t>
      </w:r>
      <w:r>
        <w:rPr>
          <w:rFonts w:asciiTheme="minorEastAsia" w:hAnsiTheme="minorEastAsia" w:cs="宋体"/>
          <w:b/>
          <w:kern w:val="0"/>
          <w:sz w:val="32"/>
          <w:szCs w:val="32"/>
        </w:rPr>
        <w:t>021</w:t>
      </w:r>
      <w:r>
        <w:rPr>
          <w:rFonts w:asciiTheme="minorEastAsia" w:hAnsiTheme="minorEastAsia" w:cs="宋体" w:hint="eastAsia"/>
          <w:b/>
          <w:kern w:val="0"/>
          <w:sz w:val="32"/>
          <w:szCs w:val="32"/>
        </w:rPr>
        <w:t>年度税务师职业资格</w:t>
      </w:r>
      <w:r w:rsidRPr="00185A7C">
        <w:rPr>
          <w:rFonts w:asciiTheme="minorEastAsia" w:hAnsiTheme="minorEastAsia" w:cs="宋体" w:hint="eastAsia"/>
          <w:b/>
          <w:kern w:val="0"/>
          <w:sz w:val="32"/>
          <w:szCs w:val="32"/>
        </w:rPr>
        <w:t>考试《税法（</w:t>
      </w:r>
      <w:r>
        <w:rPr>
          <w:rFonts w:asciiTheme="minorEastAsia" w:hAnsiTheme="minorEastAsia" w:cs="宋体"/>
          <w:b/>
          <w:kern w:val="0"/>
          <w:sz w:val="32"/>
          <w:szCs w:val="32"/>
        </w:rPr>
        <w:t>II</w:t>
      </w:r>
      <w:r w:rsidRPr="00185A7C">
        <w:rPr>
          <w:rFonts w:asciiTheme="minorEastAsia" w:hAnsiTheme="minorEastAsia" w:cs="宋体" w:hint="eastAsia"/>
          <w:b/>
          <w:kern w:val="0"/>
          <w:sz w:val="32"/>
          <w:szCs w:val="32"/>
        </w:rPr>
        <w:t>）》大纲</w:t>
      </w:r>
    </w:p>
    <w:p w:rsidR="009E68F9" w:rsidRDefault="009E68F9" w:rsidP="007E448B">
      <w:pPr>
        <w:widowControl/>
        <w:ind w:firstLine="602"/>
        <w:jc w:val="left"/>
        <w:rPr>
          <w:rFonts w:asciiTheme="minorEastAsia" w:hAnsiTheme="minorEastAsia" w:cs="宋体"/>
          <w:kern w:val="0"/>
          <w:sz w:val="28"/>
          <w:szCs w:val="28"/>
        </w:rPr>
      </w:pP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本科目考试适用的已</w:t>
      </w:r>
      <w:bookmarkStart w:id="0" w:name="_GoBack"/>
      <w:bookmarkEnd w:id="0"/>
      <w:r w:rsidRPr="004E1C2D">
        <w:rPr>
          <w:rFonts w:asciiTheme="minorEastAsia" w:hAnsiTheme="minorEastAsia" w:cs="宋体" w:hint="eastAsia"/>
          <w:kern w:val="0"/>
          <w:sz w:val="28"/>
          <w:szCs w:val="28"/>
        </w:rPr>
        <w:t>颁布法律、法规、规章和规范性文件的截止日期为2021年3月31日。</w:t>
      </w:r>
    </w:p>
    <w:p w:rsidR="007E448B" w:rsidRPr="004E1C2D" w:rsidRDefault="007E448B" w:rsidP="007E448B">
      <w:pPr>
        <w:widowControl/>
        <w:ind w:firstLine="602"/>
        <w:jc w:val="left"/>
        <w:rPr>
          <w:rFonts w:asciiTheme="minorEastAsia" w:hAnsiTheme="minorEastAsia" w:cs="宋体"/>
          <w:kern w:val="0"/>
          <w:sz w:val="28"/>
          <w:szCs w:val="28"/>
        </w:rPr>
      </w:pPr>
      <w:r>
        <w:rPr>
          <w:rFonts w:asciiTheme="minorEastAsia" w:hAnsiTheme="minorEastAsia" w:cs="宋体" w:hint="eastAsia"/>
          <w:kern w:val="0"/>
          <w:sz w:val="28"/>
          <w:szCs w:val="28"/>
        </w:rPr>
        <w:t>相比2</w:t>
      </w:r>
      <w:r>
        <w:rPr>
          <w:rFonts w:asciiTheme="minorEastAsia" w:hAnsiTheme="minorEastAsia" w:cs="宋体"/>
          <w:kern w:val="0"/>
          <w:sz w:val="28"/>
          <w:szCs w:val="28"/>
        </w:rPr>
        <w:t>020</w:t>
      </w:r>
      <w:r>
        <w:rPr>
          <w:rFonts w:asciiTheme="minorEastAsia" w:hAnsiTheme="minorEastAsia" w:cs="宋体" w:hint="eastAsia"/>
          <w:kern w:val="0"/>
          <w:sz w:val="28"/>
          <w:szCs w:val="28"/>
        </w:rPr>
        <w:t>年大纲，本年度大</w:t>
      </w:r>
      <w:r w:rsidRPr="004E1C2D">
        <w:rPr>
          <w:rFonts w:asciiTheme="minorEastAsia" w:hAnsiTheme="minorEastAsia" w:cs="宋体" w:hint="eastAsia"/>
          <w:kern w:val="0"/>
          <w:sz w:val="28"/>
          <w:szCs w:val="28"/>
        </w:rPr>
        <w:t>纲</w:t>
      </w:r>
      <w:r>
        <w:rPr>
          <w:rFonts w:asciiTheme="minorEastAsia" w:hAnsiTheme="minorEastAsia" w:cs="宋体" w:hint="eastAsia"/>
          <w:kern w:val="0"/>
          <w:sz w:val="28"/>
          <w:szCs w:val="28"/>
        </w:rPr>
        <w:t>总体</w:t>
      </w:r>
      <w:r w:rsidRPr="004E1C2D">
        <w:rPr>
          <w:rFonts w:asciiTheme="minorEastAsia" w:hAnsiTheme="minorEastAsia" w:cs="宋体" w:hint="eastAsia"/>
          <w:kern w:val="0"/>
          <w:sz w:val="28"/>
          <w:szCs w:val="28"/>
        </w:rPr>
        <w:t>结构无</w:t>
      </w:r>
      <w:r>
        <w:rPr>
          <w:rFonts w:asciiTheme="minorEastAsia" w:hAnsiTheme="minorEastAsia" w:cs="宋体" w:hint="eastAsia"/>
          <w:kern w:val="0"/>
          <w:sz w:val="28"/>
          <w:szCs w:val="28"/>
        </w:rPr>
        <w:t>大的</w:t>
      </w:r>
      <w:r w:rsidRPr="004E1C2D">
        <w:rPr>
          <w:rFonts w:asciiTheme="minorEastAsia" w:hAnsiTheme="minorEastAsia" w:cs="宋体" w:hint="eastAsia"/>
          <w:kern w:val="0"/>
          <w:sz w:val="28"/>
          <w:szCs w:val="28"/>
        </w:rPr>
        <w:t>变化，</w:t>
      </w:r>
      <w:r>
        <w:rPr>
          <w:rFonts w:asciiTheme="minorEastAsia" w:hAnsiTheme="minorEastAsia" w:cs="宋体" w:hint="eastAsia"/>
          <w:kern w:val="0"/>
          <w:sz w:val="28"/>
          <w:szCs w:val="28"/>
        </w:rPr>
        <w:t>内容方面除</w:t>
      </w:r>
      <w:r w:rsidRPr="004E1C2D">
        <w:rPr>
          <w:rFonts w:asciiTheme="minorEastAsia" w:hAnsiTheme="minorEastAsia" w:cs="宋体" w:hint="eastAsia"/>
          <w:kern w:val="0"/>
          <w:sz w:val="28"/>
          <w:szCs w:val="28"/>
        </w:rPr>
        <w:t>契税修改内容稍多外，其他各税种都</w:t>
      </w:r>
      <w:r>
        <w:rPr>
          <w:rFonts w:asciiTheme="minorEastAsia" w:hAnsiTheme="minorEastAsia" w:cs="宋体" w:hint="eastAsia"/>
          <w:kern w:val="0"/>
          <w:sz w:val="28"/>
          <w:szCs w:val="28"/>
        </w:rPr>
        <w:t>有</w:t>
      </w:r>
      <w:r w:rsidRPr="005410F0">
        <w:rPr>
          <w:rFonts w:asciiTheme="minorEastAsia" w:hAnsiTheme="minorEastAsia" w:cs="宋体" w:hint="eastAsia"/>
          <w:kern w:val="0"/>
          <w:sz w:val="28"/>
          <w:szCs w:val="28"/>
        </w:rPr>
        <w:t>不同</w:t>
      </w:r>
      <w:r>
        <w:rPr>
          <w:rFonts w:asciiTheme="minorEastAsia" w:hAnsiTheme="minorEastAsia" w:cs="宋体" w:hint="eastAsia"/>
          <w:kern w:val="0"/>
          <w:sz w:val="28"/>
          <w:szCs w:val="28"/>
        </w:rPr>
        <w:t>程度的微调</w:t>
      </w:r>
      <w:r w:rsidRPr="004E1C2D">
        <w:rPr>
          <w:rFonts w:asciiTheme="minorEastAsia" w:hAnsiTheme="minorEastAsia" w:cs="宋体" w:hint="eastAsia"/>
          <w:kern w:val="0"/>
          <w:sz w:val="28"/>
          <w:szCs w:val="28"/>
        </w:rPr>
        <w:t>。</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第一章　企业所得税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)熟悉企业所得税的计税原理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(二)了解各国企业所得税的一般性做法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(三)熟悉我国企业所得税的制度演变</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(四)了解我国企业所得税的作用</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二、纳税义务人、征税对象与税率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)熟悉纳税人的主要类型</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(二)熟悉企业所得税的征税对象</w:t>
      </w:r>
      <w:proofErr w:type="gramStart"/>
      <w:r w:rsidRPr="004E1C2D">
        <w:rPr>
          <w:rFonts w:asciiTheme="minorEastAsia" w:hAnsiTheme="minorEastAsia" w:cs="宋体" w:hint="eastAsia"/>
          <w:kern w:val="0"/>
          <w:sz w:val="28"/>
          <w:szCs w:val="28"/>
        </w:rPr>
        <w:t>及所得</w:t>
      </w:r>
      <w:proofErr w:type="gramEnd"/>
      <w:r w:rsidRPr="004E1C2D">
        <w:rPr>
          <w:rFonts w:asciiTheme="minorEastAsia" w:hAnsiTheme="minorEastAsia" w:cs="宋体" w:hint="eastAsia"/>
          <w:kern w:val="0"/>
          <w:sz w:val="28"/>
          <w:szCs w:val="28"/>
        </w:rPr>
        <w:t>来源地的确定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(三)掌握基本税率的规定，低税率的适用范围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三、应纳税所得额的计算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)掌握应税收入总额的确定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(二)掌握不征税收入、免税收入的内容</w:t>
      </w:r>
      <w:r>
        <w:rPr>
          <w:rFonts w:asciiTheme="minorEastAsia" w:hAnsiTheme="minorEastAsia" w:cs="宋体" w:hint="eastAsia"/>
          <w:kern w:val="0"/>
          <w:sz w:val="28"/>
          <w:szCs w:val="28"/>
        </w:rPr>
        <w:t>和</w:t>
      </w:r>
      <w:r w:rsidRPr="004E1C2D">
        <w:rPr>
          <w:rFonts w:asciiTheme="minorEastAsia" w:hAnsiTheme="minorEastAsia" w:cs="宋体" w:hint="eastAsia"/>
          <w:kern w:val="0"/>
          <w:sz w:val="28"/>
          <w:szCs w:val="28"/>
        </w:rPr>
        <w:t>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(三)熟悉企业接</w:t>
      </w:r>
      <w:r w:rsidRPr="005410F0">
        <w:rPr>
          <w:rFonts w:asciiTheme="minorEastAsia" w:hAnsiTheme="minorEastAsia" w:cs="宋体" w:hint="eastAsia"/>
          <w:kern w:val="0"/>
          <w:sz w:val="28"/>
          <w:szCs w:val="28"/>
        </w:rPr>
        <w:t>收政府</w:t>
      </w:r>
      <w:r>
        <w:rPr>
          <w:rFonts w:asciiTheme="minorEastAsia" w:hAnsiTheme="minorEastAsia" w:cs="宋体" w:hint="eastAsia"/>
          <w:kern w:val="0"/>
          <w:sz w:val="28"/>
          <w:szCs w:val="28"/>
        </w:rPr>
        <w:t>和</w:t>
      </w:r>
      <w:r w:rsidRPr="004E1C2D">
        <w:rPr>
          <w:rFonts w:asciiTheme="minorEastAsia" w:hAnsiTheme="minorEastAsia" w:cs="宋体" w:hint="eastAsia"/>
          <w:kern w:val="0"/>
          <w:sz w:val="28"/>
          <w:szCs w:val="28"/>
        </w:rPr>
        <w:t>股东划入资产的企业所得税处理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(四)掌握扣除项目的原则、范围和标准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(五)掌握不得扣除的项目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(六)掌握亏损弥补的规定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四、资产的税务处理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)掌握固定资产的税务处理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(二)熟悉生物资产的税务处理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(三)掌握无形资产的税务处理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(四)掌握长期待摊费用的税务处理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(五)熟悉存货的税务处理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(六)掌握投资资产的税务处理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(七)掌握税法规定与会计规定差异的处理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五、资产损失税前扣除的所得税处理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)掌握资产损失扣除的政策</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(二)掌握资产损失税前扣除管理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六、企业重组的所得税处理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)掌握企业重组的一般性税务处理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(二)掌握企业重组的特殊性税务处理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(三)掌握股权、资产划转的所得税处理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七、房地产开发经营业务的所得税处理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)掌握房地产开发经营业务收入的税务处理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(二)掌握房地产开发经营业务成本、费用扣除的税务处理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(三)掌握房地产开发经营业务计税成本的核算方法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(四)掌握房地产开发经营业务特定事项的税务处理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八、税收优惠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)掌握免税收入的规定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(二)掌握减征与免征优惠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(三)掌握高新企业的优惠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(四)掌握小型微利企业的优惠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(五)掌握加计扣除的优惠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(六)掌握创投企业的优惠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(七)掌握加速折旧的优惠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w:t>
      </w:r>
      <w:proofErr w:type="gramStart"/>
      <w:r w:rsidRPr="004E1C2D">
        <w:rPr>
          <w:rFonts w:asciiTheme="minorEastAsia" w:hAnsiTheme="minorEastAsia" w:cs="宋体" w:hint="eastAsia"/>
          <w:kern w:val="0"/>
          <w:sz w:val="28"/>
          <w:szCs w:val="28"/>
        </w:rPr>
        <w:t>掌握减计收入</w:t>
      </w:r>
      <w:proofErr w:type="gramEnd"/>
      <w:r w:rsidRPr="004E1C2D">
        <w:rPr>
          <w:rFonts w:asciiTheme="minorEastAsia" w:hAnsiTheme="minorEastAsia" w:cs="宋体" w:hint="eastAsia"/>
          <w:kern w:val="0"/>
          <w:sz w:val="28"/>
          <w:szCs w:val="28"/>
        </w:rPr>
        <w:t>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(九)掌握税额抵免的优惠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(十)熟悉民族自治地方的优惠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(十一)掌握非居民企业的优惠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(十二)掌握促进节能服务产业发展的优惠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(十三)掌握其他有关行业的优惠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九、应纳税额的计算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)掌握居民企业应纳税额的计算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(二)掌握境外所得抵扣税额的计算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(三)掌握居民企业核定征收应纳税额的计算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(四)掌握非居民企业应纳税额的计算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(五)掌握非居民企业所得税核定征收办法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(六)掌握外国企业常驻代表机构税收管理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(七)掌握企业转让上市公司限售股有关所得税问题</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十、源泉扣缴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)熟悉扣缴义务人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(二)掌握扣缴方法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(三)掌握税源管理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(五)掌握股权转让所得的管理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(六)熟悉后续管理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(七)熟悉法律责任</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(八)熟悉非居民承包工程作业和提供劳务的税务管理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(九)熟悉非居民企业派遣人员在中国境内提供劳务征收企业所得税的规定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(十)熟悉非居民企业从事国际运输业务税收管理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(十一)掌握非居民企业间接转让财产企业所得税处理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(十二)熟悉香港市场投资者通过沪港通投资上海证券交易所上市A股的所得税规定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十一、特别纳税调整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)熟悉特别纳税调整税务处理内容与管理内容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(二)熟悉关联申报管理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(三)掌握同期资料管理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(四)掌握转让定价方法管理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(五)熟悉转让定价调查及调整管理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(六)掌握预约定价安排管理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(七)熟悉成本分摊协议管理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(八)熟悉受控外国企业管理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(九)掌握资本弱化管理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(十)掌握一般反避税管理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(十一)熟悉相应调整及国际磋商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(十二)熟悉法律责任</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(十三)熟悉特别纳税调整监控管理规定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十二、征收管理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)熟悉纳税地点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(二)熟悉纳税期限</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(三)掌握纳税申报</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(四)掌握跨地区经营汇总纳税企业所得税征收管理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(五)熟悉合伙企业所得税的征收管理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(六)掌握境外注册中资控股企业所得税管理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(七)熟悉企业所得税年度纳税申报口径问题</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(八)熟悉非居民企业所得税管理若干问题</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(九)掌握企业政策性搬迁所得税管理办法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(十)熟悉居民企业报告境外投资和所得信息的管理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(十一)熟悉企业所得税年度纳税申报主要报表的填列方法</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第二章　个人所得税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)了解个人所得税的特点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(二)了解个人所得税的立法原则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二、征税对象</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)掌握工资薪金所得的范围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(二)掌握劳务报酬所得的范围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(三)掌握稿酬所得的范围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(四)掌握特许权使用费所得的范围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(五)掌握经营所得的范围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(六)掌握利息、股息、红利所得的范围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(七)掌握财产租赁所得的范围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(八)掌握财产转让所得的范围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(九)掌握偶然所得的范围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三、纳税人、税率与应纳税所得额的确定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)掌握居民个人和非居民个人的判定标准、纳税义务范围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(二)熟悉所得来源的确定、扣缴义务人相关规定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(二)掌握适用税率的具体规定、</w:t>
      </w:r>
      <w:proofErr w:type="gramStart"/>
      <w:r w:rsidRPr="004E1C2D">
        <w:rPr>
          <w:rFonts w:asciiTheme="minorEastAsia" w:hAnsiTheme="minorEastAsia" w:cs="宋体" w:hint="eastAsia"/>
          <w:kern w:val="0"/>
          <w:sz w:val="28"/>
          <w:szCs w:val="28"/>
        </w:rPr>
        <w:t>预征率</w:t>
      </w:r>
      <w:proofErr w:type="gramEnd"/>
      <w:r w:rsidRPr="004E1C2D">
        <w:rPr>
          <w:rFonts w:asciiTheme="minorEastAsia" w:hAnsiTheme="minorEastAsia" w:cs="宋体" w:hint="eastAsia"/>
          <w:kern w:val="0"/>
          <w:sz w:val="28"/>
          <w:szCs w:val="28"/>
        </w:rPr>
        <w:t>的具体规定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(三)掌握应纳税所得额的一般规定、特殊规定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)掌握法定免税的项目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(二)掌握法定减税的项目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(三)熟悉其他减免税的项目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)掌握居民个人综合所得的计税方法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(二)掌握非居民个人四项所得的计税方法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(三)熟悉无住所个人适用税收协定的计税方法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(四)掌握经营所得的计税方法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(五)掌握利息、股息、红利所得的计税方法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(六)掌握财产租赁所得的计税方法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(七)掌握财产转让所得的计税方法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(八)掌握偶然所得的计税方法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(九)掌握特殊情形下个人所得税的计税方法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六、征收管理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)熟悉扣缴申报管理方法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(二)掌握自行纳税申报管理方法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(三)掌握专项附加扣除操作办法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(四)熟悉反避税规定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(五)掌握综合所得汇算清缴管理办法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(六)熟悉无住所个人所得税征管相关规定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(七)熟悉股权转让所得个人所得税管理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(八)熟悉个人财产对外转移提交税收证明或完税证明的规定</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第三章　国际税收</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)熟悉国际税收内容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(二)熟悉国际税收原则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(三)熟悉国际税法原则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二、税收管辖权</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)掌握税收管辖权相关规定和分类方法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(二)掌握约束税收管辖权的国际惯例</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(三)掌握国际税收抵免制度</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三、国际税收协定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)熟悉国际税收协定内容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(二)掌握我国对外签署税收协定典型条款</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(三)熟悉国际税收协定管理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四、国际避税与反避税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)熟悉主要国际避税地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(二)掌握国际避税基本方法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(三)掌握国际反避税基本方法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五、国际税收合作</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)熟悉我国税收情报交换</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(二)熟悉美国海外账户税收遵从法案</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(三)熟悉OECD金融账户涉税信息自动交换标准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(四)熟悉税收征管互助</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(五)熟悉国际税收合作新形式</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第四章　印花税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了解印花税的立法原则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二、征税范围、纳税人和税率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)掌握印花税的征税范围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(二)掌握纳税人的具体规定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(三)掌握税率种类</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掌握减免税的基本优惠和其他优惠政策</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四、计税依据和应纳税额的计算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)掌握印花税的计税依据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(二)掌握印花税应纳税额的计算方法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)熟悉印花税的缴纳方法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(二)熟悉外商投资企业和外国企业缴纳印花税的其他有关规定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(三)了解印花税的税票</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(四)熟悉纳税人缴纳印花税的责任和义务</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(五)掌握印花税违章处理的规定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(六)熟悉纳税环节和纳税地点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(七)掌握印花税的管理</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第五章　房产税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了解房产税的立法原则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二、征税范围、纳税人和税率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)熟悉房产税的征税范围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(二)熟悉房产税的纳税人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(三)掌握房产税的税率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三、减免税优惠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)掌握减免税的基本规定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(二)掌握减免税的特殊规定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四、计税依据和应纳税额的计算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)掌握房产税的计税依据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(二)掌握房产税应纳税额的计算方法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)掌握纳税义务发生的时间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(二)了解纳税的期限</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(三)了解纳税的申报</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(四)熟悉纳税的地点</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第六章　车船税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了解车船税的立法原则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二、征税范围、纳税人和适用税额</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)熟悉车船税的征税范围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(二)熟悉车船税的纳税人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(三)了解车船税的税额</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)熟悉法定减免税的规定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(二)熟悉特定减免税的规定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四、应纳税额的计算与代收代缴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)掌握车船税应纳税额的计算方法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(二)了解保险机构的代收代缴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(三)了解交通运输部门、海事管理机构代为征收船舶车船税规定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)熟悉车船税的纳税期限</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(二)熟悉车船税的纳税地点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(三)熟悉车船税的申报缴纳</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(四)熟悉其他管理规定</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第七章　契税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了解契税的立法原则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二、征税范围、纳税人和税率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)掌握契税的征税范围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(二)熟悉契税的纳税人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(三)熟悉契税的税率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)熟悉契税减免的基本规定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(二)熟悉财政部规定的其他减免契税的项目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四、计税依据和应纳税额的计算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)掌握契税的计税依据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(二)掌握契税应纳税额的计算方法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)熟悉契税纳税义务发生的时间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(二)了解契税的纳税期限</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(三)熟悉契税的纳税地点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(四)了解契税的征收管理</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第八章　城镇土地使用税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了解城镇土地使用税的立法原则</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二、征税范围、纳税人和适用税额</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)掌握城镇土地使用税的征税范围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(二)熟悉城镇土地使用税的纳税人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(三)了解城镇土地使用税的适用税额</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三、减免税优惠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)熟悉城镇土地使用税减免优惠的基本规定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(二)熟悉城镇土地使用税减免优惠的特殊规定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四、计税依据和应纳税额的计算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)掌握城镇土地使用税的计税依据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(二)掌握城镇土地使用税应纳税额的计算方法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)掌握城镇土地使用税纳税义务发生的时间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(二)了解城镇土地使用税的纳税期限</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(三)熟悉城镇土地使用税的纳税申报</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(四)熟悉城镇土地使用税的纳税地点</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lastRenderedPageBreak/>
        <w:t>第九章　耕地占用税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了解耕地占用税的特点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二、纳税义务人和征税范围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)熟悉耕地占用税的纳税义务人</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(二)熟悉耕地占用税的征税范围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三、税收优惠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)熟悉免征耕地占用税的规定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(二)熟悉减征耕地占用税的规定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)掌握耕地占用税的计税依据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(二)熟悉耕地占用税的单位税额</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(三)掌握耕地占用税应纳税额的计算方法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)掌握耕地占用税纳税义务发生的时间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(二)掌握耕地占用税的纳税申报</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(三)熟悉耕地占用税的减免税管理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(四)熟悉耕地占用税的退税管理</w:t>
      </w:r>
    </w:p>
    <w:p w:rsidR="007E448B" w:rsidRPr="004E1C2D" w:rsidRDefault="007E448B" w:rsidP="007E448B">
      <w:pPr>
        <w:widowControl/>
        <w:ind w:firstLine="602"/>
        <w:jc w:val="left"/>
        <w:rPr>
          <w:rFonts w:asciiTheme="minorEastAsia" w:hAnsiTheme="minorEastAsia" w:cs="宋体"/>
          <w:b/>
          <w:bCs/>
          <w:kern w:val="0"/>
          <w:sz w:val="28"/>
          <w:szCs w:val="28"/>
        </w:rPr>
      </w:pPr>
      <w:r w:rsidRPr="004E1C2D">
        <w:rPr>
          <w:rFonts w:asciiTheme="minorEastAsia" w:hAnsiTheme="minorEastAsia" w:cs="宋体" w:hint="eastAsia"/>
          <w:b/>
          <w:bCs/>
          <w:kern w:val="0"/>
          <w:sz w:val="28"/>
          <w:szCs w:val="28"/>
        </w:rPr>
        <w:t>第十章　船舶吨税</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一、概述</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了解船舶吨税的特点</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二、征税范围和税率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lastRenderedPageBreak/>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)熟悉船舶吨税的范围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(二)熟悉船舶吨税的税率</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三、税收优惠</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)熟悉直接优惠的规定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(二)熟悉延期优惠的规定</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四、应纳税额的计算</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)熟悉船舶吨税应纳税额的计税依据</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(二)掌握船舶吨税应纳税额的计算方法</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五、征收管理</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w:t>
      </w:r>
      <w:proofErr w:type="gramStart"/>
      <w:r w:rsidRPr="004E1C2D">
        <w:rPr>
          <w:rFonts w:asciiTheme="minorEastAsia" w:hAnsiTheme="minorEastAsia" w:cs="宋体" w:hint="eastAsia"/>
          <w:kern w:val="0"/>
          <w:sz w:val="28"/>
          <w:szCs w:val="28"/>
        </w:rPr>
        <w:t>一</w:t>
      </w:r>
      <w:proofErr w:type="gramEnd"/>
      <w:r w:rsidRPr="004E1C2D">
        <w:rPr>
          <w:rFonts w:asciiTheme="minorEastAsia" w:hAnsiTheme="minorEastAsia" w:cs="宋体" w:hint="eastAsia"/>
          <w:kern w:val="0"/>
          <w:sz w:val="28"/>
          <w:szCs w:val="28"/>
        </w:rPr>
        <w:t>)熟悉船舶吨税纳税义务发生的时间</w:t>
      </w:r>
    </w:p>
    <w:p w:rsidR="007E448B" w:rsidRPr="004E1C2D" w:rsidRDefault="007E448B" w:rsidP="007E448B">
      <w:pPr>
        <w:widowControl/>
        <w:ind w:firstLine="602"/>
        <w:jc w:val="left"/>
        <w:rPr>
          <w:rFonts w:asciiTheme="minorEastAsia" w:hAnsiTheme="minorEastAsia" w:cs="宋体"/>
          <w:kern w:val="0"/>
          <w:sz w:val="28"/>
          <w:szCs w:val="28"/>
        </w:rPr>
      </w:pPr>
      <w:r w:rsidRPr="004E1C2D">
        <w:rPr>
          <w:rFonts w:asciiTheme="minorEastAsia" w:hAnsiTheme="minorEastAsia" w:cs="宋体" w:hint="eastAsia"/>
          <w:kern w:val="0"/>
          <w:sz w:val="28"/>
          <w:szCs w:val="28"/>
        </w:rPr>
        <w:t xml:space="preserve">　(二)熟悉船舶吨税的纳税申报和担保</w:t>
      </w:r>
    </w:p>
    <w:p w:rsidR="007E448B" w:rsidRPr="000C708B" w:rsidRDefault="007E448B" w:rsidP="007E448B">
      <w:pPr>
        <w:widowControl/>
        <w:ind w:firstLine="602"/>
        <w:jc w:val="left"/>
        <w:rPr>
          <w:rFonts w:asciiTheme="minorEastAsia" w:hAnsiTheme="minorEastAsia" w:cs="宋体"/>
          <w:kern w:val="0"/>
          <w:sz w:val="32"/>
          <w:szCs w:val="32"/>
        </w:rPr>
      </w:pPr>
    </w:p>
    <w:p w:rsidR="007E448B" w:rsidRPr="000C708B" w:rsidRDefault="007E448B" w:rsidP="007E448B">
      <w:pPr>
        <w:widowControl/>
        <w:ind w:firstLine="602"/>
        <w:jc w:val="left"/>
        <w:rPr>
          <w:rFonts w:asciiTheme="minorEastAsia" w:hAnsiTheme="minorEastAsia" w:cs="宋体"/>
          <w:kern w:val="0"/>
          <w:sz w:val="32"/>
          <w:szCs w:val="32"/>
        </w:rPr>
      </w:pPr>
    </w:p>
    <w:p w:rsidR="007E448B" w:rsidRPr="000C70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p w:rsidR="007E448B" w:rsidRDefault="007E448B" w:rsidP="007E448B">
      <w:pPr>
        <w:widowControl/>
        <w:ind w:firstLine="602"/>
        <w:jc w:val="left"/>
        <w:rPr>
          <w:rFonts w:asciiTheme="minorEastAsia" w:hAnsiTheme="minorEastAsia" w:cs="宋体"/>
          <w:kern w:val="0"/>
          <w:sz w:val="32"/>
          <w:szCs w:val="32"/>
        </w:rPr>
      </w:pPr>
    </w:p>
    <w:sectPr w:rsidR="007E448B">
      <w:footerReference w:type="default" r:id="rId7"/>
      <w:pgSz w:w="11906" w:h="16838"/>
      <w:pgMar w:top="1418" w:right="1361" w:bottom="1361"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39A" w:rsidRDefault="005F739A">
      <w:r>
        <w:separator/>
      </w:r>
    </w:p>
  </w:endnote>
  <w:endnote w:type="continuationSeparator" w:id="0">
    <w:p w:rsidR="005F739A" w:rsidRDefault="005F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7328595"/>
    </w:sdtPr>
    <w:sdtEndPr/>
    <w:sdtContent>
      <w:p w:rsidR="005410F0" w:rsidRDefault="008456F2">
        <w:pPr>
          <w:pStyle w:val="a3"/>
          <w:jc w:val="center"/>
        </w:pPr>
        <w:r>
          <w:fldChar w:fldCharType="begin"/>
        </w:r>
        <w:r>
          <w:instrText>PAGE   \* MERGEFORMAT</w:instrText>
        </w:r>
        <w:r>
          <w:fldChar w:fldCharType="separate"/>
        </w:r>
        <w:r w:rsidRPr="00B96008">
          <w:rPr>
            <w:noProof/>
            <w:lang w:val="zh-CN"/>
          </w:rPr>
          <w:t>60</w:t>
        </w:r>
        <w:r>
          <w:fldChar w:fldCharType="end"/>
        </w:r>
      </w:p>
    </w:sdtContent>
  </w:sdt>
  <w:p w:rsidR="005410F0" w:rsidRDefault="005F739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39A" w:rsidRDefault="005F739A">
      <w:r>
        <w:separator/>
      </w:r>
    </w:p>
  </w:footnote>
  <w:footnote w:type="continuationSeparator" w:id="0">
    <w:p w:rsidR="005F739A" w:rsidRDefault="005F7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6DF29"/>
    <w:multiLevelType w:val="singleLevel"/>
    <w:tmpl w:val="CFE6DF29"/>
    <w:lvl w:ilvl="0">
      <w:start w:val="2"/>
      <w:numFmt w:val="chineseCounting"/>
      <w:suff w:val="nothing"/>
      <w:lvlText w:val="%1、"/>
      <w:lvlJc w:val="left"/>
      <w:rPr>
        <w:rFonts w:hint="eastAsia"/>
      </w:rPr>
    </w:lvl>
  </w:abstractNum>
  <w:abstractNum w:abstractNumId="1" w15:restartNumberingAfterBreak="0">
    <w:nsid w:val="D45E3CC5"/>
    <w:multiLevelType w:val="singleLevel"/>
    <w:tmpl w:val="D45E3CC5"/>
    <w:lvl w:ilvl="0">
      <w:start w:val="1"/>
      <w:numFmt w:val="chineseCounting"/>
      <w:suff w:val="nothing"/>
      <w:lvlText w:val="%1、"/>
      <w:lvlJc w:val="left"/>
      <w:rPr>
        <w:rFonts w:hint="eastAsia"/>
      </w:rPr>
    </w:lvl>
  </w:abstractNum>
  <w:abstractNum w:abstractNumId="2" w15:restartNumberingAfterBreak="0">
    <w:nsid w:val="3A36F481"/>
    <w:multiLevelType w:val="singleLevel"/>
    <w:tmpl w:val="3A36F481"/>
    <w:lvl w:ilvl="0">
      <w:start w:val="1"/>
      <w:numFmt w:val="chineseCounting"/>
      <w:suff w:val="nothing"/>
      <w:lvlText w:val="（%1）"/>
      <w:lvlJc w:val="left"/>
      <w:rPr>
        <w:rFonts w:hint="eastAsia"/>
      </w:rPr>
    </w:lvl>
  </w:abstractNum>
  <w:abstractNum w:abstractNumId="3" w15:restartNumberingAfterBreak="0">
    <w:nsid w:val="3DEACCC4"/>
    <w:multiLevelType w:val="singleLevel"/>
    <w:tmpl w:val="3DEACCC4"/>
    <w:lvl w:ilvl="0">
      <w:start w:val="9"/>
      <w:numFmt w:val="chineseCounting"/>
      <w:suff w:val="space"/>
      <w:lvlText w:val="第%1章"/>
      <w:lvlJc w:val="left"/>
      <w:rPr>
        <w:rFonts w:hint="eastAsia"/>
      </w:rPr>
    </w:lvl>
  </w:abstractNum>
  <w:abstractNum w:abstractNumId="4" w15:restartNumberingAfterBreak="0">
    <w:nsid w:val="3EE2699C"/>
    <w:multiLevelType w:val="singleLevel"/>
    <w:tmpl w:val="3EE2699C"/>
    <w:lvl w:ilvl="0">
      <w:start w:val="1"/>
      <w:numFmt w:val="chineseCounting"/>
      <w:suff w:val="nothing"/>
      <w:lvlText w:val="（%1）"/>
      <w:lvlJc w:val="left"/>
      <w:rPr>
        <w:rFonts w:hint="eastAsia"/>
      </w:rPr>
    </w:lvl>
  </w:abstractNum>
  <w:abstractNum w:abstractNumId="5" w15:restartNumberingAfterBreak="0">
    <w:nsid w:val="4A926768"/>
    <w:multiLevelType w:val="singleLevel"/>
    <w:tmpl w:val="4A926768"/>
    <w:lvl w:ilvl="0">
      <w:start w:val="1"/>
      <w:numFmt w:val="chineseCounting"/>
      <w:suff w:val="nothing"/>
      <w:lvlText w:val="（%1）"/>
      <w:lvlJc w:val="left"/>
      <w:rPr>
        <w:rFonts w:hint="eastAsia"/>
      </w:rPr>
    </w:lvl>
  </w:abstractNum>
  <w:abstractNum w:abstractNumId="6" w15:restartNumberingAfterBreak="0">
    <w:nsid w:val="5FE9BDC1"/>
    <w:multiLevelType w:val="singleLevel"/>
    <w:tmpl w:val="5FE9BDC1"/>
    <w:lvl w:ilvl="0">
      <w:start w:val="1"/>
      <w:numFmt w:val="chineseCounting"/>
      <w:suff w:val="nothing"/>
      <w:lvlText w:val="（%1）"/>
      <w:lvlJc w:val="left"/>
      <w:rPr>
        <w:rFonts w:hint="eastAsia"/>
      </w:rPr>
    </w:lvl>
  </w:abstractNum>
  <w:abstractNum w:abstractNumId="7" w15:restartNumberingAfterBreak="0">
    <w:nsid w:val="7684FABA"/>
    <w:multiLevelType w:val="singleLevel"/>
    <w:tmpl w:val="7684FABA"/>
    <w:lvl w:ilvl="0">
      <w:start w:val="1"/>
      <w:numFmt w:val="chineseCounting"/>
      <w:suff w:val="nothing"/>
      <w:lvlText w:val="（%1）"/>
      <w:lvlJc w:val="left"/>
      <w:rPr>
        <w:rFonts w:hint="eastAsia"/>
      </w:rPr>
    </w:lvl>
  </w:abstractNum>
  <w:num w:numId="1">
    <w:abstractNumId w:val="5"/>
  </w:num>
  <w:num w:numId="2">
    <w:abstractNumId w:val="0"/>
  </w:num>
  <w:num w:numId="3">
    <w:abstractNumId w:val="6"/>
  </w:num>
  <w:num w:numId="4">
    <w:abstractNumId w:val="3"/>
  </w:num>
  <w:num w:numId="5">
    <w:abstractNumId w:val="1"/>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8B"/>
    <w:rsid w:val="005F739A"/>
    <w:rsid w:val="007E448B"/>
    <w:rsid w:val="008456F2"/>
    <w:rsid w:val="009E68F9"/>
    <w:rsid w:val="00C467AC"/>
    <w:rsid w:val="00FF4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3BA5F"/>
  <w15:chartTrackingRefBased/>
  <w15:docId w15:val="{E043FFC0-62D5-4D92-8910-22F4AF85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4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7E448B"/>
    <w:pPr>
      <w:tabs>
        <w:tab w:val="center" w:pos="4153"/>
        <w:tab w:val="right" w:pos="8306"/>
      </w:tabs>
      <w:snapToGrid w:val="0"/>
      <w:jc w:val="left"/>
    </w:pPr>
    <w:rPr>
      <w:sz w:val="18"/>
      <w:szCs w:val="18"/>
    </w:rPr>
  </w:style>
  <w:style w:type="character" w:customStyle="1" w:styleId="a4">
    <w:name w:val="页脚 字符"/>
    <w:basedOn w:val="a0"/>
    <w:link w:val="a3"/>
    <w:uiPriority w:val="99"/>
    <w:rsid w:val="007E448B"/>
    <w:rPr>
      <w:sz w:val="18"/>
      <w:szCs w:val="18"/>
    </w:rPr>
  </w:style>
  <w:style w:type="paragraph" w:styleId="a5">
    <w:name w:val="Normal (Web)"/>
    <w:basedOn w:val="a"/>
    <w:rsid w:val="007E448B"/>
    <w:pPr>
      <w:jc w:val="left"/>
    </w:pPr>
    <w:rPr>
      <w:rFonts w:cs="Times New Roman"/>
      <w:kern w:val="0"/>
      <w:sz w:val="24"/>
    </w:rPr>
  </w:style>
  <w:style w:type="character" w:styleId="a6">
    <w:name w:val="FollowedHyperlink"/>
    <w:basedOn w:val="a0"/>
    <w:rsid w:val="007E448B"/>
    <w:rPr>
      <w:color w:val="005C81"/>
      <w:u w:val="none"/>
    </w:rPr>
  </w:style>
  <w:style w:type="character" w:styleId="a7">
    <w:name w:val="Emphasis"/>
    <w:basedOn w:val="a0"/>
    <w:qFormat/>
    <w:rsid w:val="007E448B"/>
  </w:style>
  <w:style w:type="character" w:styleId="a8">
    <w:name w:val="Hyperlink"/>
    <w:basedOn w:val="a0"/>
    <w:rsid w:val="007E448B"/>
    <w:rPr>
      <w:color w:val="005C81"/>
      <w:u w:val="none"/>
    </w:rPr>
  </w:style>
  <w:style w:type="paragraph" w:styleId="a9">
    <w:name w:val="header"/>
    <w:basedOn w:val="a"/>
    <w:link w:val="aa"/>
    <w:rsid w:val="007E448B"/>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7E448B"/>
    <w:rPr>
      <w:sz w:val="18"/>
      <w:szCs w:val="18"/>
    </w:rPr>
  </w:style>
  <w:style w:type="paragraph" w:styleId="ab">
    <w:name w:val="Balloon Text"/>
    <w:basedOn w:val="a"/>
    <w:link w:val="ac"/>
    <w:rsid w:val="007E448B"/>
    <w:rPr>
      <w:sz w:val="18"/>
      <w:szCs w:val="18"/>
    </w:rPr>
  </w:style>
  <w:style w:type="character" w:customStyle="1" w:styleId="ac">
    <w:name w:val="批注框文本 字符"/>
    <w:basedOn w:val="a0"/>
    <w:link w:val="ab"/>
    <w:rsid w:val="007E44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gyb1</cp:lastModifiedBy>
  <cp:revision>3</cp:revision>
  <dcterms:created xsi:type="dcterms:W3CDTF">2021-04-19T03:18:00Z</dcterms:created>
  <dcterms:modified xsi:type="dcterms:W3CDTF">2021-04-19T03:26:00Z</dcterms:modified>
</cp:coreProperties>
</file>